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hint="eastAsia" w:ascii="Arial" w:hAnsi="Arial" w:cs="Arial"/>
          <w:b/>
          <w:bCs/>
          <w:sz w:val="22"/>
          <w:szCs w:val="22"/>
        </w:rPr>
        <w:t>#103</w:t>
      </w:r>
      <w:r>
        <w:rPr>
          <w:rFonts w:ascii="Arial" w:hAnsi="Arial" w:cs="Arial"/>
          <w:b/>
          <w:bCs/>
          <w:sz w:val="22"/>
          <w:szCs w:val="22"/>
        </w:rPr>
        <w:t>-e</w:t>
      </w:r>
      <w:r>
        <w:rPr>
          <w:rFonts w:ascii="Arial" w:hAnsi="Arial" w:cs="Arial"/>
          <w:b/>
          <w:bCs/>
          <w:sz w:val="22"/>
          <w:szCs w:val="22"/>
        </w:rPr>
        <w:tab/>
      </w:r>
      <w:r>
        <w:rPr>
          <w:rFonts w:hint="eastAsia" w:ascii="Arial" w:hAnsi="Arial" w:cs="Arial"/>
          <w:b/>
          <w:bCs/>
          <w:sz w:val="22"/>
          <w:szCs w:val="22"/>
        </w:rPr>
        <w:t xml:space="preserve">                                                  </w:t>
      </w:r>
      <w:r>
        <w:rPr>
          <w:rFonts w:ascii="Arial" w:hAnsi="Arial" w:cs="Arial"/>
          <w:b/>
          <w:bCs/>
          <w:sz w:val="22"/>
          <w:szCs w:val="22"/>
        </w:rPr>
        <w:t>R1-2</w:t>
      </w:r>
      <w:r>
        <w:rPr>
          <w:rFonts w:hint="eastAsia" w:ascii="Arial" w:hAnsi="Arial" w:cs="Arial"/>
          <w:b/>
          <w:bCs/>
          <w:sz w:val="22"/>
          <w:szCs w:val="22"/>
        </w:rPr>
        <w:t>008860</w:t>
      </w:r>
    </w:p>
    <w:p>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lang w:eastAsia="ja-JP"/>
        </w:rPr>
        <w:t>e-Meeting</w:t>
      </w:r>
      <w:r>
        <w:rPr>
          <w:rFonts w:hint="eastAsia" w:ascii="Arial" w:hAnsi="Arial" w:cs="Arial"/>
          <w:b/>
          <w:bCs/>
          <w:sz w:val="22"/>
          <w:szCs w:val="22"/>
          <w:lang w:eastAsia="ja-JP"/>
        </w:rPr>
        <w:t xml:space="preserve">, </w:t>
      </w:r>
      <w:r>
        <w:rPr>
          <w:rFonts w:hint="eastAsia" w:ascii="Arial" w:hAnsi="Arial" w:cs="Arial"/>
          <w:b/>
          <w:bCs/>
          <w:sz w:val="22"/>
          <w:szCs w:val="22"/>
        </w:rPr>
        <w:t>October</w:t>
      </w:r>
      <w:r>
        <w:rPr>
          <w:rFonts w:hint="eastAsia" w:ascii="Arial" w:hAnsi="Arial" w:cs="Arial"/>
          <w:b/>
          <w:bCs/>
          <w:sz w:val="22"/>
          <w:szCs w:val="22"/>
          <w:lang w:eastAsia="ja-JP"/>
        </w:rPr>
        <w:t xml:space="preserve"> </w:t>
      </w:r>
      <w:r>
        <w:rPr>
          <w:rFonts w:hint="eastAsia" w:ascii="Arial" w:hAnsi="Arial" w:cs="Arial"/>
          <w:b/>
          <w:bCs/>
          <w:sz w:val="22"/>
          <w:szCs w:val="22"/>
        </w:rPr>
        <w:t>26</w:t>
      </w:r>
      <w:r>
        <w:rPr>
          <w:rFonts w:hint="eastAsia" w:ascii="Arial" w:hAnsi="Arial" w:cs="Arial"/>
          <w:b/>
          <w:bCs/>
          <w:sz w:val="22"/>
          <w:szCs w:val="22"/>
          <w:vertAlign w:val="superscript"/>
          <w:lang w:eastAsia="ja-JP"/>
        </w:rPr>
        <w:t>th</w:t>
      </w:r>
      <w:r>
        <w:rPr>
          <w:rFonts w:ascii="Arial" w:hAnsi="Arial" w:cs="Arial"/>
          <w:b/>
          <w:bCs/>
          <w:sz w:val="22"/>
          <w:szCs w:val="22"/>
          <w:lang w:eastAsia="ja-JP"/>
        </w:rPr>
        <w:t xml:space="preserve"> – </w:t>
      </w:r>
      <w:r>
        <w:rPr>
          <w:rFonts w:hint="eastAsia" w:ascii="Arial" w:hAnsi="Arial" w:cs="Arial"/>
          <w:b/>
          <w:bCs/>
          <w:sz w:val="22"/>
          <w:szCs w:val="22"/>
        </w:rPr>
        <w:t>November 13</w:t>
      </w:r>
      <w:r>
        <w:rPr>
          <w:rFonts w:hint="eastAsia" w:ascii="Arial" w:hAnsi="Arial" w:cs="Arial"/>
          <w:b/>
          <w:bCs/>
          <w:sz w:val="22"/>
          <w:szCs w:val="22"/>
          <w:vertAlign w:val="superscript"/>
        </w:rPr>
        <w:t>th</w:t>
      </w:r>
      <w:r>
        <w:rPr>
          <w:rFonts w:hint="eastAsia" w:ascii="Arial" w:hAnsi="Arial" w:cs="Arial"/>
          <w:b/>
          <w:bCs/>
          <w:sz w:val="22"/>
          <w:szCs w:val="22"/>
          <w:lang w:eastAsia="ja-JP"/>
        </w:rPr>
        <w:t>, 202</w:t>
      </w:r>
      <w:r>
        <w:rPr>
          <w:rFonts w:hint="eastAsia" w:ascii="Arial" w:hAnsi="Arial" w:cs="Arial"/>
          <w:b/>
          <w:bCs/>
          <w:sz w:val="22"/>
          <w:szCs w:val="22"/>
        </w:rPr>
        <w:t>0</w:t>
      </w:r>
    </w:p>
    <w:p>
      <w:pPr>
        <w:tabs>
          <w:tab w:val="left" w:pos="1985"/>
        </w:tabs>
        <w:spacing w:before="240"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hint="eastAsia" w:ascii="Arial" w:hAnsi="Arial"/>
          <w:b/>
          <w:sz w:val="22"/>
          <w:szCs w:val="22"/>
        </w:rPr>
        <w:t>Discussion on multiplexing capability for IAB</w:t>
      </w:r>
    </w:p>
    <w:p>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 Sanechips</w:t>
      </w:r>
    </w:p>
    <w:p>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hint="eastAsia" w:ascii="Arial" w:hAnsi="Arial"/>
          <w:b/>
          <w:sz w:val="22"/>
          <w:szCs w:val="22"/>
        </w:rPr>
        <w:t>8.10.3</w:t>
      </w:r>
    </w:p>
    <w:p>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hint="eastAsia" w:ascii="Arial" w:hAnsi="Arial"/>
          <w:b/>
          <w:sz w:val="22"/>
          <w:szCs w:val="22"/>
        </w:rPr>
        <w:t>Discussion</w:t>
      </w:r>
      <w:r>
        <w:rPr>
          <w:rFonts w:ascii="Arial" w:hAnsi="Arial"/>
          <w:b/>
          <w:sz w:val="22"/>
          <w:szCs w:val="22"/>
        </w:rPr>
        <w:t xml:space="preserve"> and decision</w:t>
      </w:r>
    </w:p>
    <w:p>
      <w:pPr>
        <w:pStyle w:val="2"/>
        <w:spacing w:before="120" w:after="120"/>
        <w:ind w:left="0"/>
        <w:rPr>
          <w:rFonts w:eastAsia="宋体"/>
        </w:rPr>
      </w:pPr>
      <w:r>
        <w:rPr>
          <w:rFonts w:hint="eastAsia" w:eastAsia="宋体"/>
        </w:rPr>
        <w:t>Introduction</w:t>
      </w:r>
    </w:p>
    <w:p>
      <w:pPr>
        <w:spacing w:before="120" w:after="120"/>
        <w:rPr>
          <w:sz w:val="20"/>
        </w:rPr>
      </w:pPr>
      <w:r>
        <w:rPr>
          <w:sz w:val="20"/>
        </w:rPr>
        <w:t xml:space="preserve">This contribution further discusses the </w:t>
      </w:r>
      <w:r>
        <w:rPr>
          <w:rFonts w:hint="eastAsia"/>
          <w:sz w:val="20"/>
        </w:rPr>
        <w:t xml:space="preserve">multiplexing capability for Rel-17 </w:t>
      </w:r>
      <w:r>
        <w:rPr>
          <w:sz w:val="20"/>
        </w:rPr>
        <w:t>IAB</w:t>
      </w:r>
      <w:r>
        <w:rPr>
          <w:rFonts w:hint="eastAsia"/>
          <w:sz w:val="20"/>
          <w:szCs w:val="22"/>
        </w:rPr>
        <w:t xml:space="preserve">. </w:t>
      </w:r>
    </w:p>
    <w:p>
      <w:pPr>
        <w:pStyle w:val="2"/>
        <w:keepNext w:val="0"/>
        <w:keepLines w:val="0"/>
        <w:widowControl w:val="0"/>
        <w:pBdr>
          <w:top w:val="none" w:color="auto" w:sz="0" w:space="0"/>
        </w:pBdr>
        <w:snapToGrid w:val="0"/>
        <w:spacing w:before="120" w:after="120" w:line="240" w:lineRule="auto"/>
        <w:ind w:left="431" w:hanging="431"/>
        <w:jc w:val="left"/>
      </w:pPr>
      <w:r>
        <w:rPr>
          <w:rFonts w:hint="eastAsia" w:eastAsia="宋体"/>
          <w:szCs w:val="22"/>
        </w:rPr>
        <w:t>Multiplexing capability</w:t>
      </w:r>
    </w:p>
    <w:p>
      <w:pPr>
        <w:tabs>
          <w:tab w:val="left" w:pos="0"/>
        </w:tabs>
        <w:adjustRightInd w:val="0"/>
        <w:snapToGrid w:val="0"/>
        <w:spacing w:before="120" w:after="120"/>
        <w:rPr>
          <w:sz w:val="20"/>
        </w:rPr>
      </w:pPr>
      <w:r>
        <w:rPr>
          <w:rFonts w:hint="eastAsia"/>
          <w:sz w:val="20"/>
        </w:rPr>
        <w:t>IAB Multiplexing capability indication related agreements in Rel-16 were reached as following:</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7"/>
              <w:widowControl w:val="0"/>
              <w:adjustRightInd w:val="0"/>
              <w:snapToGrid w:val="0"/>
              <w:spacing w:before="0" w:beforeLines="0" w:after="0" w:afterLines="0" w:line="240" w:lineRule="auto"/>
              <w:ind w:firstLine="0" w:firstLineChars="0"/>
              <w:jc w:val="left"/>
              <w:rPr>
                <w:rFonts w:eastAsia="Times New Roman"/>
                <w:b/>
                <w:bCs/>
                <w:sz w:val="20"/>
                <w:lang w:eastAsia="en-US"/>
              </w:rPr>
            </w:pPr>
            <w:r>
              <w:rPr>
                <w:rFonts w:eastAsia="Times New Roman"/>
                <w:b/>
                <w:bCs/>
                <w:sz w:val="20"/>
                <w:highlight w:val="green"/>
                <w:lang w:eastAsia="zh-CN"/>
              </w:rPr>
              <w:t>Agreements of RAN1#98b</w:t>
            </w:r>
            <w:r>
              <w:rPr>
                <w:rFonts w:eastAsia="Times New Roman"/>
                <w:b/>
                <w:bCs/>
                <w:sz w:val="20"/>
                <w:lang w:eastAsia="zh-CN"/>
              </w:rPr>
              <w:t xml:space="preserve"> </w:t>
            </w:r>
            <w:r>
              <w:rPr>
                <w:rFonts w:eastAsia="Times New Roman"/>
                <w:bCs/>
                <w:sz w:val="20"/>
                <w:lang w:eastAsia="zh-CN"/>
              </w:rPr>
              <w:t>[1]</w:t>
            </w:r>
          </w:p>
          <w:p>
            <w:pPr>
              <w:pStyle w:val="37"/>
              <w:widowControl w:val="0"/>
              <w:adjustRightInd w:val="0"/>
              <w:snapToGrid w:val="0"/>
              <w:spacing w:before="0" w:beforeLines="0" w:after="0" w:afterLines="0" w:line="240" w:lineRule="auto"/>
              <w:ind w:firstLine="0" w:firstLineChars="0"/>
              <w:jc w:val="left"/>
              <w:rPr>
                <w:rFonts w:eastAsia="Times New Roman"/>
                <w:sz w:val="20"/>
                <w:lang w:eastAsia="en-US"/>
              </w:rPr>
            </w:pPr>
            <w:r>
              <w:rPr>
                <w:rFonts w:eastAsia="Times New Roman"/>
                <w:sz w:val="20"/>
                <w:lang w:eastAsia="en-US"/>
              </w:rPr>
              <w:t>The donor CU and the parent node can be made aware of the multiplexing capability between MT and DU (TDM required, TDM not required) of an IAB node to for any {MT CC, DU cell} pair.</w:t>
            </w:r>
          </w:p>
          <w:p>
            <w:pPr>
              <w:pStyle w:val="37"/>
              <w:widowControl w:val="0"/>
              <w:numPr>
                <w:ilvl w:val="0"/>
                <w:numId w:val="8"/>
              </w:numPr>
              <w:adjustRightInd w:val="0"/>
              <w:snapToGrid w:val="0"/>
              <w:spacing w:before="0" w:beforeLines="0" w:after="0" w:afterLines="0" w:line="240" w:lineRule="auto"/>
              <w:ind w:firstLineChars="0"/>
              <w:jc w:val="left"/>
              <w:rPr>
                <w:rFonts w:eastAsia="Times New Roman"/>
                <w:sz w:val="20"/>
                <w:lang w:eastAsia="en-US"/>
              </w:rPr>
            </w:pPr>
            <w:r>
              <w:rPr>
                <w:rFonts w:eastAsia="Times New Roman"/>
                <w:sz w:val="20"/>
                <w:lang w:eastAsia="en-US"/>
              </w:rPr>
              <w:t>Signaling details up to RAN2/RAN3.</w:t>
            </w:r>
          </w:p>
          <w:p>
            <w:pPr>
              <w:pStyle w:val="54"/>
              <w:widowControl w:val="0"/>
              <w:tabs>
                <w:tab w:val="left" w:pos="0"/>
                <w:tab w:val="clear" w:pos="1701"/>
              </w:tabs>
              <w:snapToGrid w:val="0"/>
              <w:spacing w:beforeLines="0" w:after="0" w:afterLines="0" w:line="240" w:lineRule="auto"/>
              <w:ind w:left="0" w:firstLine="0"/>
              <w:rPr>
                <w:sz w:val="20"/>
                <w:highlight w:val="green"/>
              </w:rPr>
            </w:pPr>
          </w:p>
          <w:p>
            <w:pPr>
              <w:pStyle w:val="54"/>
              <w:widowControl w:val="0"/>
              <w:tabs>
                <w:tab w:val="left" w:pos="0"/>
                <w:tab w:val="clear" w:pos="1701"/>
              </w:tabs>
              <w:snapToGrid w:val="0"/>
              <w:spacing w:beforeLines="0" w:after="0" w:afterLines="0" w:line="240" w:lineRule="auto"/>
              <w:ind w:left="0" w:firstLine="0"/>
              <w:rPr>
                <w:b w:val="0"/>
                <w:bCs w:val="0"/>
                <w:sz w:val="20"/>
              </w:rPr>
            </w:pPr>
            <w:r>
              <w:rPr>
                <w:sz w:val="20"/>
                <w:highlight w:val="green"/>
              </w:rPr>
              <w:t>Agreements of RAN1#99</w:t>
            </w:r>
            <w:r>
              <w:rPr>
                <w:b w:val="0"/>
                <w:sz w:val="20"/>
              </w:rPr>
              <w:t xml:space="preserve"> [2]</w:t>
            </w:r>
          </w:p>
          <w:p>
            <w:pPr>
              <w:pStyle w:val="54"/>
              <w:widowControl w:val="0"/>
              <w:tabs>
                <w:tab w:val="left" w:pos="0"/>
                <w:tab w:val="clear" w:pos="1701"/>
              </w:tabs>
              <w:snapToGrid w:val="0"/>
              <w:spacing w:beforeLines="0" w:after="0" w:afterLines="0" w:line="240" w:lineRule="auto"/>
              <w:ind w:left="0" w:firstLine="0"/>
              <w:rPr>
                <w:b w:val="0"/>
                <w:bCs w:val="0"/>
                <w:sz w:val="20"/>
              </w:rPr>
            </w:pPr>
            <w:r>
              <w:rPr>
                <w:b w:val="0"/>
                <w:bCs w:val="0"/>
                <w:sz w:val="20"/>
              </w:rPr>
              <w:t>The indication of the multiplexing capability for the case of no-TDM between IAB MT and IAB DU is additionally provided with respect to each transmission-direction combination (per MT CC/DU cell pair):</w:t>
            </w:r>
          </w:p>
          <w:p>
            <w:pPr>
              <w:pStyle w:val="54"/>
              <w:widowControl w:val="0"/>
              <w:numPr>
                <w:ilvl w:val="0"/>
                <w:numId w:val="9"/>
              </w:numPr>
              <w:tabs>
                <w:tab w:val="left" w:pos="0"/>
                <w:tab w:val="clear" w:pos="1701"/>
              </w:tabs>
              <w:snapToGrid w:val="0"/>
              <w:spacing w:beforeLines="0" w:after="0" w:afterLines="0" w:line="240" w:lineRule="auto"/>
              <w:rPr>
                <w:b w:val="0"/>
                <w:bCs w:val="0"/>
                <w:sz w:val="20"/>
              </w:rPr>
            </w:pPr>
            <w:r>
              <w:rPr>
                <w:b w:val="0"/>
                <w:bCs w:val="0"/>
                <w:sz w:val="20"/>
              </w:rPr>
              <w:t>MT-TX/DU-TX</w:t>
            </w:r>
          </w:p>
          <w:p>
            <w:pPr>
              <w:pStyle w:val="54"/>
              <w:widowControl w:val="0"/>
              <w:numPr>
                <w:ilvl w:val="0"/>
                <w:numId w:val="9"/>
              </w:numPr>
              <w:tabs>
                <w:tab w:val="left" w:pos="0"/>
                <w:tab w:val="clear" w:pos="1701"/>
              </w:tabs>
              <w:snapToGrid w:val="0"/>
              <w:spacing w:beforeLines="0" w:after="0" w:afterLines="0" w:line="240" w:lineRule="auto"/>
              <w:rPr>
                <w:b w:val="0"/>
                <w:bCs w:val="0"/>
                <w:sz w:val="20"/>
              </w:rPr>
            </w:pPr>
            <w:r>
              <w:rPr>
                <w:b w:val="0"/>
                <w:bCs w:val="0"/>
                <w:sz w:val="20"/>
              </w:rPr>
              <w:t>MT-TX/DU-RX</w:t>
            </w:r>
          </w:p>
          <w:p>
            <w:pPr>
              <w:pStyle w:val="54"/>
              <w:widowControl w:val="0"/>
              <w:numPr>
                <w:ilvl w:val="0"/>
                <w:numId w:val="9"/>
              </w:numPr>
              <w:tabs>
                <w:tab w:val="left" w:pos="0"/>
                <w:tab w:val="clear" w:pos="1701"/>
              </w:tabs>
              <w:snapToGrid w:val="0"/>
              <w:spacing w:beforeLines="0" w:after="0" w:afterLines="0" w:line="240" w:lineRule="auto"/>
              <w:rPr>
                <w:b w:val="0"/>
                <w:bCs w:val="0"/>
                <w:sz w:val="20"/>
              </w:rPr>
            </w:pPr>
            <w:r>
              <w:rPr>
                <w:b w:val="0"/>
                <w:bCs w:val="0"/>
                <w:sz w:val="20"/>
              </w:rPr>
              <w:t>MT-RX/DU-TX</w:t>
            </w:r>
          </w:p>
          <w:p>
            <w:pPr>
              <w:pStyle w:val="54"/>
              <w:widowControl w:val="0"/>
              <w:numPr>
                <w:ilvl w:val="0"/>
                <w:numId w:val="9"/>
              </w:numPr>
              <w:tabs>
                <w:tab w:val="left" w:pos="0"/>
                <w:tab w:val="clear" w:pos="1701"/>
              </w:tabs>
              <w:snapToGrid w:val="0"/>
              <w:spacing w:beforeLines="0" w:after="0" w:afterLines="0" w:line="240" w:lineRule="auto"/>
              <w:rPr>
                <w:b w:val="0"/>
                <w:bCs w:val="0"/>
                <w:sz w:val="20"/>
              </w:rPr>
            </w:pPr>
            <w:r>
              <w:rPr>
                <w:b w:val="0"/>
                <w:bCs w:val="0"/>
                <w:sz w:val="20"/>
              </w:rPr>
              <w:t>MT-RX/DU-RX</w:t>
            </w:r>
          </w:p>
          <w:p>
            <w:pPr>
              <w:pStyle w:val="54"/>
              <w:widowControl w:val="0"/>
              <w:tabs>
                <w:tab w:val="left" w:pos="0"/>
                <w:tab w:val="clear" w:pos="1701"/>
              </w:tabs>
              <w:snapToGrid w:val="0"/>
              <w:spacing w:beforeLines="0" w:after="0" w:afterLines="0" w:line="240" w:lineRule="auto"/>
              <w:rPr>
                <w:rFonts w:hint="eastAsia"/>
              </w:rPr>
            </w:pPr>
            <w:r>
              <w:rPr>
                <w:b w:val="0"/>
                <w:bCs w:val="0"/>
                <w:sz w:val="20"/>
              </w:rPr>
              <w:t>Note: This agreement does not require any additional specification impact in RAN1 in Rel-16, i.e. in Rel-16 the behaviour of the IAB node is only defined for TDM cases. The behaviour for no-TDM is left to IAB-node/network implementation in Rel-16.</w:t>
            </w:r>
          </w:p>
        </w:tc>
      </w:tr>
    </w:tbl>
    <w:p>
      <w:pPr>
        <w:tabs>
          <w:tab w:val="left" w:pos="0"/>
        </w:tabs>
        <w:adjustRightInd w:val="0"/>
        <w:snapToGrid w:val="0"/>
        <w:spacing w:before="120" w:after="120"/>
        <w:rPr>
          <w:sz w:val="20"/>
        </w:rPr>
      </w:pPr>
      <w:r>
        <w:rPr>
          <w:rFonts w:hint="eastAsia"/>
          <w:sz w:val="20"/>
        </w:rPr>
        <w:t xml:space="preserve">According to the agreements above, it can be seen that the multiplexing behaviour of Rel-16 IAB node is only defined for TDM cases. In Rel-17, it is supposed to support new </w:t>
      </w:r>
      <w:r>
        <w:rPr>
          <w:rFonts w:eastAsia="Times New Roman"/>
          <w:sz w:val="20"/>
          <w:lang w:eastAsia="en-US"/>
        </w:rPr>
        <w:t>functionality</w:t>
      </w:r>
      <w:r>
        <w:rPr>
          <w:rFonts w:hint="eastAsia"/>
          <w:sz w:val="20"/>
        </w:rPr>
        <w:t xml:space="preserve"> to</w:t>
      </w:r>
      <w:r>
        <w:rPr>
          <w:sz w:val="20"/>
        </w:rPr>
        <w:t xml:space="preserve"> increase spectral efficiency and reduce latency </w:t>
      </w:r>
      <w:r>
        <w:rPr>
          <w:rFonts w:hint="eastAsia"/>
          <w:sz w:val="20"/>
        </w:rPr>
        <w:t>by</w:t>
      </w:r>
      <w:r>
        <w:rPr>
          <w:sz w:val="20"/>
        </w:rPr>
        <w:t xml:space="preserve"> support</w:t>
      </w:r>
      <w:r>
        <w:rPr>
          <w:rFonts w:hint="eastAsia"/>
          <w:sz w:val="20"/>
        </w:rPr>
        <w:t>ing</w:t>
      </w:r>
      <w:r>
        <w:rPr>
          <w:sz w:val="20"/>
        </w:rPr>
        <w:t xml:space="preserve"> SDM/FDM-based resource management, </w:t>
      </w:r>
      <w:r>
        <w:rPr>
          <w:rFonts w:hint="eastAsia"/>
          <w:sz w:val="20"/>
        </w:rPr>
        <w:t xml:space="preserve">or </w:t>
      </w:r>
      <w:r>
        <w:rPr>
          <w:sz w:val="20"/>
        </w:rPr>
        <w:t>simultaneous transmissions and/or reception on IAB-nodes</w:t>
      </w:r>
      <w:r>
        <w:rPr>
          <w:rFonts w:hint="eastAsia"/>
          <w:sz w:val="20"/>
        </w:rPr>
        <w:t>. That is, new multiplexing capability of SDM/FDM would be introduced for no-TDM in Rel-17 IAB.</w:t>
      </w:r>
    </w:p>
    <w:p>
      <w:pPr>
        <w:tabs>
          <w:tab w:val="left" w:pos="0"/>
        </w:tabs>
        <w:adjustRightInd w:val="0"/>
        <w:snapToGrid w:val="0"/>
        <w:spacing w:before="120" w:after="120"/>
        <w:rPr>
          <w:sz w:val="20"/>
        </w:rPr>
      </w:pPr>
      <w:r>
        <w:rPr>
          <w:rFonts w:hint="eastAsia"/>
          <w:sz w:val="20"/>
        </w:rPr>
        <w:t>From our point of view, parent node or donor CU should be made aware of the SDM/FDM multiplexing capability of an IAB node based on the following analysis. When parent node or donor CU does not know which multiplexing capability is supported by an IAB node, the performance or efficiency of multiplexing between IAB-MT and IAB-DU may be decreased. For example, if the parent node or donor CU configures only FDMed resources for IAB-MT and IAB-DU, the multiplexing performance may be limited when IAB node supports SDM. On the other hand, if the parent node or donor CU configures overlapped resource for IAB-MT and IAB-DU, the interference may cause performance degradation when IAB node does not support SDM.</w:t>
      </w:r>
    </w:p>
    <w:p>
      <w:pPr>
        <w:tabs>
          <w:tab w:val="left" w:pos="0"/>
        </w:tabs>
        <w:adjustRightInd w:val="0"/>
        <w:snapToGrid w:val="0"/>
        <w:spacing w:before="120" w:after="120"/>
        <w:rPr>
          <w:sz w:val="20"/>
        </w:rPr>
      </w:pPr>
      <w:r>
        <w:rPr>
          <w:sz w:val="20"/>
        </w:rPr>
        <w:t xml:space="preserve">Similar to the multiplexing capability </w:t>
      </w:r>
      <w:r>
        <w:rPr>
          <w:rFonts w:hint="eastAsia"/>
          <w:sz w:val="20"/>
        </w:rPr>
        <w:t xml:space="preserve">for </w:t>
      </w:r>
      <w:r>
        <w:rPr>
          <w:sz w:val="20"/>
        </w:rPr>
        <w:t>transmission</w:t>
      </w:r>
      <w:r>
        <w:rPr>
          <w:rFonts w:hint="eastAsia"/>
          <w:sz w:val="20"/>
        </w:rPr>
        <w:t>-</w:t>
      </w:r>
      <w:r>
        <w:rPr>
          <w:sz w:val="20"/>
        </w:rPr>
        <w:t>direction</w:t>
      </w:r>
      <w:r>
        <w:rPr>
          <w:rFonts w:hint="eastAsia"/>
          <w:sz w:val="20"/>
        </w:rPr>
        <w:t xml:space="preserve"> combination, </w:t>
      </w:r>
      <w:r>
        <w:rPr>
          <w:sz w:val="20"/>
        </w:rPr>
        <w:t xml:space="preserve">the SDM/FDM capability can also be reported </w:t>
      </w:r>
      <w:r>
        <w:rPr>
          <w:rFonts w:hint="eastAsia"/>
          <w:sz w:val="20"/>
        </w:rPr>
        <w:t>in {MT cc, DU cell}</w:t>
      </w:r>
      <w:r>
        <w:rPr>
          <w:sz w:val="20"/>
        </w:rPr>
        <w:t xml:space="preserve"> pair.</w:t>
      </w:r>
      <w:r>
        <w:rPr>
          <w:rFonts w:hint="eastAsia"/>
          <w:sz w:val="20"/>
        </w:rPr>
        <w:t xml:space="preserve"> </w:t>
      </w:r>
      <w:r>
        <w:rPr>
          <w:sz w:val="20"/>
        </w:rPr>
        <w:t>The reporting types include:</w:t>
      </w:r>
    </w:p>
    <w:p>
      <w:pPr>
        <w:pStyle w:val="54"/>
        <w:numPr>
          <w:ilvl w:val="0"/>
          <w:numId w:val="9"/>
        </w:numPr>
        <w:spacing w:beforeLines="0" w:after="0" w:afterLines="0" w:line="240" w:lineRule="auto"/>
        <w:rPr>
          <w:b w:val="0"/>
          <w:bCs w:val="0"/>
          <w:sz w:val="20"/>
        </w:rPr>
      </w:pPr>
      <w:r>
        <w:rPr>
          <w:rFonts w:hint="eastAsia"/>
          <w:b w:val="0"/>
          <w:bCs w:val="0"/>
          <w:sz w:val="20"/>
        </w:rPr>
        <w:t>S</w:t>
      </w:r>
      <w:r>
        <w:rPr>
          <w:b w:val="0"/>
          <w:bCs w:val="0"/>
          <w:sz w:val="20"/>
        </w:rPr>
        <w:t>DM</w:t>
      </w:r>
    </w:p>
    <w:p>
      <w:pPr>
        <w:pStyle w:val="54"/>
        <w:numPr>
          <w:ilvl w:val="0"/>
          <w:numId w:val="9"/>
        </w:numPr>
        <w:spacing w:beforeLines="0" w:after="0" w:afterLines="0" w:line="240" w:lineRule="auto"/>
        <w:rPr>
          <w:b w:val="0"/>
          <w:bCs w:val="0"/>
          <w:sz w:val="20"/>
        </w:rPr>
      </w:pPr>
      <w:r>
        <w:rPr>
          <w:rFonts w:hint="eastAsia"/>
          <w:b w:val="0"/>
          <w:bCs w:val="0"/>
          <w:sz w:val="20"/>
        </w:rPr>
        <w:t>F</w:t>
      </w:r>
      <w:r>
        <w:rPr>
          <w:b w:val="0"/>
          <w:bCs w:val="0"/>
          <w:sz w:val="20"/>
        </w:rPr>
        <w:t>DM</w:t>
      </w:r>
    </w:p>
    <w:p>
      <w:pPr>
        <w:pStyle w:val="54"/>
        <w:numPr>
          <w:ilvl w:val="0"/>
          <w:numId w:val="9"/>
        </w:numPr>
        <w:spacing w:beforeLines="0" w:after="0" w:afterLines="0" w:line="240" w:lineRule="auto"/>
        <w:rPr>
          <w:b w:val="0"/>
          <w:bCs w:val="0"/>
          <w:sz w:val="20"/>
        </w:rPr>
      </w:pPr>
      <w:r>
        <w:rPr>
          <w:rFonts w:hint="eastAsia"/>
          <w:b w:val="0"/>
          <w:bCs w:val="0"/>
          <w:sz w:val="20"/>
        </w:rPr>
        <w:t>SDM and FDM</w:t>
      </w:r>
    </w:p>
    <w:p>
      <w:pPr>
        <w:tabs>
          <w:tab w:val="left" w:pos="0"/>
        </w:tabs>
        <w:adjustRightInd w:val="0"/>
        <w:snapToGrid w:val="0"/>
        <w:spacing w:before="120" w:after="120"/>
        <w:rPr>
          <w:b/>
          <w:bCs/>
          <w:sz w:val="20"/>
        </w:rPr>
      </w:pPr>
      <w:r>
        <w:rPr>
          <w:rFonts w:hint="eastAsia"/>
          <w:sz w:val="20"/>
        </w:rPr>
        <w:t>The SDM/FDM capability can be reported separately or in combination with transmission-direction combination</w:t>
      </w:r>
      <w:r>
        <w:rPr>
          <w:rFonts w:hint="eastAsia"/>
          <w:sz w:val="20"/>
          <w:lang w:val="en-US" w:eastAsia="zh-CN"/>
        </w:rPr>
        <w:t>, d</w:t>
      </w:r>
      <w:r>
        <w:rPr>
          <w:rFonts w:hint="eastAsia"/>
          <w:sz w:val="20"/>
        </w:rPr>
        <w:t xml:space="preserve">etails </w:t>
      </w:r>
      <w:bookmarkStart w:id="0" w:name="_GoBack"/>
      <w:bookmarkEnd w:id="0"/>
      <w:r>
        <w:rPr>
          <w:rFonts w:hint="eastAsia"/>
          <w:sz w:val="20"/>
        </w:rPr>
        <w:t>can be FFS.</w:t>
      </w:r>
    </w:p>
    <w:p>
      <w:pPr>
        <w:tabs>
          <w:tab w:val="left" w:pos="0"/>
        </w:tabs>
        <w:adjustRightInd w:val="0"/>
        <w:snapToGrid w:val="0"/>
        <w:spacing w:before="120" w:after="120"/>
        <w:rPr>
          <w:b/>
          <w:bCs/>
          <w:i/>
          <w:iCs/>
          <w:sz w:val="20"/>
        </w:rPr>
      </w:pPr>
      <w:r>
        <w:rPr>
          <w:rFonts w:hint="eastAsia"/>
          <w:b/>
          <w:bCs/>
          <w:i/>
          <w:iCs/>
          <w:sz w:val="20"/>
        </w:rPr>
        <w:t>Proposal 1：Parent node or donor CU can be made aware of the no-TDM multiplexing capability of an IAB node such as SDM, FDM or SDM and FDM.</w:t>
      </w:r>
    </w:p>
    <w:p>
      <w:pPr>
        <w:numPr>
          <w:ilvl w:val="0"/>
          <w:numId w:val="10"/>
        </w:numPr>
        <w:tabs>
          <w:tab w:val="left" w:pos="0"/>
        </w:tabs>
        <w:adjustRightInd w:val="0"/>
        <w:snapToGrid w:val="0"/>
        <w:spacing w:before="120" w:after="120"/>
        <w:rPr>
          <w:b/>
          <w:bCs/>
          <w:i/>
          <w:iCs/>
          <w:sz w:val="20"/>
        </w:rPr>
      </w:pPr>
      <w:r>
        <w:rPr>
          <w:rFonts w:hint="eastAsia"/>
          <w:b/>
          <w:bCs/>
          <w:i/>
          <w:iCs/>
          <w:sz w:val="20"/>
        </w:rPr>
        <w:t>FFS: Whether such no-TDM multiplexing capability is separately or jointly reported with transmission-direction combinations.</w:t>
      </w:r>
    </w:p>
    <w:p>
      <w:pPr>
        <w:adjustRightInd w:val="0"/>
        <w:snapToGrid w:val="0"/>
        <w:spacing w:beforeLines="0" w:after="0" w:afterLines="0" w:line="240" w:lineRule="auto"/>
      </w:pPr>
    </w:p>
    <w:p>
      <w:pPr>
        <w:adjustRightInd w:val="0"/>
        <w:snapToGrid w:val="0"/>
        <w:spacing w:beforeLines="0" w:after="0" w:afterLines="0" w:line="240" w:lineRule="auto"/>
      </w:pPr>
    </w:p>
    <w:p>
      <w:pPr>
        <w:pStyle w:val="2"/>
        <w:spacing w:before="120" w:after="120"/>
        <w:ind w:left="0"/>
        <w:rPr>
          <w:rFonts w:eastAsia="宋体"/>
        </w:rPr>
      </w:pPr>
      <w:r>
        <w:rPr>
          <w:rFonts w:hint="eastAsia" w:eastAsia="宋体"/>
        </w:rPr>
        <w:t>Conclusion</w:t>
      </w:r>
    </w:p>
    <w:p>
      <w:pPr>
        <w:tabs>
          <w:tab w:val="left" w:pos="2520"/>
        </w:tabs>
        <w:spacing w:before="120" w:after="120"/>
        <w:rPr>
          <w:sz w:val="20"/>
        </w:rPr>
      </w:pPr>
      <w:r>
        <w:rPr>
          <w:rFonts w:hint="eastAsia"/>
          <w:sz w:val="20"/>
        </w:rPr>
        <w:t>According to the discussion above, we provide the following proposal:</w:t>
      </w:r>
    </w:p>
    <w:p>
      <w:pPr>
        <w:tabs>
          <w:tab w:val="left" w:pos="0"/>
        </w:tabs>
        <w:adjustRightInd w:val="0"/>
        <w:snapToGrid w:val="0"/>
        <w:spacing w:before="120" w:after="120"/>
        <w:rPr>
          <w:b/>
          <w:bCs/>
          <w:i/>
          <w:iCs/>
          <w:sz w:val="20"/>
        </w:rPr>
      </w:pPr>
      <w:r>
        <w:rPr>
          <w:rFonts w:hint="eastAsia"/>
          <w:b/>
          <w:bCs/>
          <w:i/>
          <w:iCs/>
          <w:sz w:val="20"/>
        </w:rPr>
        <w:t>Proposal 1：Parent node or donor CU can be made aware of the no-TDM multiplexing capability of an IAB node such as SDM, FDM or SDM and FDM.</w:t>
      </w:r>
    </w:p>
    <w:p>
      <w:pPr>
        <w:numPr>
          <w:ilvl w:val="0"/>
          <w:numId w:val="10"/>
        </w:numPr>
        <w:tabs>
          <w:tab w:val="left" w:pos="0"/>
        </w:tabs>
        <w:adjustRightInd w:val="0"/>
        <w:snapToGrid w:val="0"/>
        <w:spacing w:before="120" w:after="120"/>
        <w:rPr>
          <w:b/>
          <w:bCs/>
          <w:i/>
          <w:iCs/>
          <w:sz w:val="20"/>
        </w:rPr>
      </w:pPr>
      <w:r>
        <w:rPr>
          <w:rFonts w:hint="eastAsia"/>
          <w:b/>
          <w:bCs/>
          <w:i/>
          <w:iCs/>
          <w:sz w:val="20"/>
        </w:rPr>
        <w:t>FFS: Whether such no-TDM multiplexing capability is separately or jointly reported with transmission-direction combinations.</w:t>
      </w:r>
    </w:p>
    <w:p>
      <w:pPr>
        <w:pStyle w:val="2"/>
        <w:spacing w:before="120" w:after="120"/>
        <w:ind w:left="0"/>
        <w:rPr>
          <w:rFonts w:eastAsia="宋体"/>
        </w:rPr>
      </w:pPr>
      <w:r>
        <w:rPr>
          <w:rFonts w:hint="eastAsia" w:eastAsia="宋体"/>
        </w:rPr>
        <w:t>Reference</w:t>
      </w:r>
      <w:r>
        <w:rPr>
          <w:rFonts w:eastAsia="宋体"/>
        </w:rPr>
        <w:t>s</w:t>
      </w:r>
    </w:p>
    <w:p>
      <w:pPr>
        <w:pStyle w:val="31"/>
        <w:spacing w:before="120" w:after="120"/>
        <w:ind w:left="363" w:hanging="363"/>
      </w:pPr>
      <w:r>
        <w:rPr>
          <w:rFonts w:hint="eastAsia"/>
          <w:szCs w:val="20"/>
        </w:rPr>
        <w:t>Chairman's Notes RAN1#98b</w:t>
      </w:r>
    </w:p>
    <w:p>
      <w:pPr>
        <w:pStyle w:val="31"/>
        <w:spacing w:before="120" w:after="120"/>
        <w:ind w:left="363" w:hanging="363"/>
      </w:pPr>
      <w:r>
        <w:rPr>
          <w:rFonts w:hint="eastAsia"/>
          <w:szCs w:val="20"/>
        </w:rPr>
        <w:t>Chairman's Notes RAN1#99</w:t>
      </w: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334744"/>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4666EE"/>
    <w:multiLevelType w:val="singleLevel"/>
    <w:tmpl w:val="A14666EE"/>
    <w:lvl w:ilvl="0" w:tentative="0">
      <w:start w:val="1"/>
      <w:numFmt w:val="lowerRoman"/>
      <w:pStyle w:val="34"/>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29"/>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28"/>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5DF5A0B"/>
    <w:multiLevelType w:val="multilevel"/>
    <w:tmpl w:val="35DF5A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72AA324"/>
    <w:multiLevelType w:val="multilevel"/>
    <w:tmpl w:val="372AA324"/>
    <w:lvl w:ilvl="0" w:tentative="0">
      <w:start w:val="1"/>
      <w:numFmt w:val="decimal"/>
      <w:pStyle w:val="27"/>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6">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7">
    <w:nsid w:val="43FCA2C8"/>
    <w:multiLevelType w:val="singleLevel"/>
    <w:tmpl w:val="43FCA2C8"/>
    <w:lvl w:ilvl="0" w:tentative="0">
      <w:start w:val="1"/>
      <w:numFmt w:val="lowerRoman"/>
      <w:pStyle w:val="36"/>
      <w:lvlText w:val="%1"/>
      <w:lvlJc w:val="left"/>
      <w:pPr>
        <w:tabs>
          <w:tab w:val="left" w:pos="807"/>
        </w:tabs>
        <w:ind w:left="420" w:firstLine="0"/>
      </w:pPr>
      <w:rPr>
        <w:rFonts w:hint="default" w:ascii="Times New Roman" w:hAnsi="Times New Roman" w:eastAsia="宋体" w:cs="Times New Roman"/>
        <w:i/>
        <w:iCs/>
      </w:rPr>
    </w:lvl>
  </w:abstractNum>
  <w:abstractNum w:abstractNumId="8">
    <w:nsid w:val="56EB49EC"/>
    <w:multiLevelType w:val="multilevel"/>
    <w:tmpl w:val="56EB49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EB4D0BF"/>
    <w:multiLevelType w:val="singleLevel"/>
    <w:tmpl w:val="7EB4D0BF"/>
    <w:lvl w:ilvl="0" w:tentative="0">
      <w:start w:val="1"/>
      <w:numFmt w:val="bullet"/>
      <w:lvlText w:val="▪"/>
      <w:lvlJc w:val="left"/>
      <w:pPr>
        <w:ind w:left="420" w:hanging="420"/>
      </w:pPr>
      <w:rPr>
        <w:rFonts w:hint="default" w:ascii="Arial" w:hAnsi="Arial" w:cs="Arial"/>
      </w:rPr>
    </w:lvl>
  </w:abstractNum>
  <w:num w:numId="1">
    <w:abstractNumId w:val="2"/>
  </w:num>
  <w:num w:numId="2">
    <w:abstractNumId w:val="5"/>
  </w:num>
  <w:num w:numId="3">
    <w:abstractNumId w:val="3"/>
  </w:num>
  <w:num w:numId="4">
    <w:abstractNumId w:val="1"/>
  </w:num>
  <w:num w:numId="5">
    <w:abstractNumId w:val="6"/>
  </w:num>
  <w:num w:numId="6">
    <w:abstractNumId w:val="0"/>
  </w:num>
  <w:num w:numId="7">
    <w:abstractNumId w:val="7"/>
  </w:num>
  <w:num w:numId="8">
    <w:abstractNumId w:val="8"/>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trackRevisions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54E2"/>
    <w:rsid w:val="000731D9"/>
    <w:rsid w:val="000A2EE5"/>
    <w:rsid w:val="000C23F8"/>
    <w:rsid w:val="000D05AA"/>
    <w:rsid w:val="000E7CD3"/>
    <w:rsid w:val="00167D1E"/>
    <w:rsid w:val="00172A27"/>
    <w:rsid w:val="00175FEC"/>
    <w:rsid w:val="00220CC6"/>
    <w:rsid w:val="0022267B"/>
    <w:rsid w:val="0029664F"/>
    <w:rsid w:val="002A0BF2"/>
    <w:rsid w:val="002C59CF"/>
    <w:rsid w:val="0031325A"/>
    <w:rsid w:val="00334292"/>
    <w:rsid w:val="00376C34"/>
    <w:rsid w:val="00384F99"/>
    <w:rsid w:val="00395697"/>
    <w:rsid w:val="003A1203"/>
    <w:rsid w:val="003E6CCE"/>
    <w:rsid w:val="0040257E"/>
    <w:rsid w:val="00404FF0"/>
    <w:rsid w:val="00405665"/>
    <w:rsid w:val="00433B93"/>
    <w:rsid w:val="00435878"/>
    <w:rsid w:val="004A5900"/>
    <w:rsid w:val="004C0DBD"/>
    <w:rsid w:val="004C4675"/>
    <w:rsid w:val="004F2D29"/>
    <w:rsid w:val="004F6201"/>
    <w:rsid w:val="00500B54"/>
    <w:rsid w:val="0051732E"/>
    <w:rsid w:val="005265A6"/>
    <w:rsid w:val="00565453"/>
    <w:rsid w:val="00565559"/>
    <w:rsid w:val="005B065E"/>
    <w:rsid w:val="005C03CC"/>
    <w:rsid w:val="006369E0"/>
    <w:rsid w:val="0066322D"/>
    <w:rsid w:val="006757F1"/>
    <w:rsid w:val="006921E5"/>
    <w:rsid w:val="0069512F"/>
    <w:rsid w:val="00695650"/>
    <w:rsid w:val="00697EBB"/>
    <w:rsid w:val="006B4DFD"/>
    <w:rsid w:val="0070284D"/>
    <w:rsid w:val="00726BCF"/>
    <w:rsid w:val="00733AB8"/>
    <w:rsid w:val="00740B89"/>
    <w:rsid w:val="0077184F"/>
    <w:rsid w:val="007B39E8"/>
    <w:rsid w:val="007B51B3"/>
    <w:rsid w:val="007E5750"/>
    <w:rsid w:val="00823F23"/>
    <w:rsid w:val="00837885"/>
    <w:rsid w:val="008F6930"/>
    <w:rsid w:val="0090458B"/>
    <w:rsid w:val="00935B63"/>
    <w:rsid w:val="00936426"/>
    <w:rsid w:val="00955583"/>
    <w:rsid w:val="0096044C"/>
    <w:rsid w:val="009904A9"/>
    <w:rsid w:val="0099160A"/>
    <w:rsid w:val="00996F89"/>
    <w:rsid w:val="009C6D56"/>
    <w:rsid w:val="009E3245"/>
    <w:rsid w:val="009E7529"/>
    <w:rsid w:val="009F3678"/>
    <w:rsid w:val="009F7489"/>
    <w:rsid w:val="00A163E3"/>
    <w:rsid w:val="00A521CA"/>
    <w:rsid w:val="00AC03D1"/>
    <w:rsid w:val="00B04112"/>
    <w:rsid w:val="00B22688"/>
    <w:rsid w:val="00B5700F"/>
    <w:rsid w:val="00B6123B"/>
    <w:rsid w:val="00B6403D"/>
    <w:rsid w:val="00B646BE"/>
    <w:rsid w:val="00B675A2"/>
    <w:rsid w:val="00B75F9E"/>
    <w:rsid w:val="00B81A17"/>
    <w:rsid w:val="00B82A09"/>
    <w:rsid w:val="00B82BEF"/>
    <w:rsid w:val="00B9727F"/>
    <w:rsid w:val="00BB423E"/>
    <w:rsid w:val="00BE204A"/>
    <w:rsid w:val="00C06B18"/>
    <w:rsid w:val="00C12E91"/>
    <w:rsid w:val="00C229E2"/>
    <w:rsid w:val="00C5250B"/>
    <w:rsid w:val="00C67E62"/>
    <w:rsid w:val="00C97A84"/>
    <w:rsid w:val="00CA2622"/>
    <w:rsid w:val="00CA43AD"/>
    <w:rsid w:val="00CB3383"/>
    <w:rsid w:val="00CD3BAB"/>
    <w:rsid w:val="00CE007D"/>
    <w:rsid w:val="00CF5CB2"/>
    <w:rsid w:val="00CF7BB0"/>
    <w:rsid w:val="00D64D14"/>
    <w:rsid w:val="00D83922"/>
    <w:rsid w:val="00DC658B"/>
    <w:rsid w:val="00DE1BC7"/>
    <w:rsid w:val="00DE3ABE"/>
    <w:rsid w:val="00E34B89"/>
    <w:rsid w:val="00E36661"/>
    <w:rsid w:val="00E865D3"/>
    <w:rsid w:val="00E8734D"/>
    <w:rsid w:val="00EC0971"/>
    <w:rsid w:val="00EC171F"/>
    <w:rsid w:val="00EC3177"/>
    <w:rsid w:val="00EE1459"/>
    <w:rsid w:val="00EF52B5"/>
    <w:rsid w:val="00F063F3"/>
    <w:rsid w:val="00F15363"/>
    <w:rsid w:val="00F24E71"/>
    <w:rsid w:val="00F447C8"/>
    <w:rsid w:val="00F461EF"/>
    <w:rsid w:val="00F978F9"/>
    <w:rsid w:val="00FA0A08"/>
    <w:rsid w:val="00FA7AB4"/>
    <w:rsid w:val="00FB3F4B"/>
    <w:rsid w:val="00FC03CC"/>
    <w:rsid w:val="00FC5E14"/>
    <w:rsid w:val="00FD2DE4"/>
    <w:rsid w:val="00FE4F57"/>
    <w:rsid w:val="015702F1"/>
    <w:rsid w:val="015B20BD"/>
    <w:rsid w:val="01764F01"/>
    <w:rsid w:val="02212D7E"/>
    <w:rsid w:val="024D6B6A"/>
    <w:rsid w:val="029B04E7"/>
    <w:rsid w:val="03073BDC"/>
    <w:rsid w:val="033F44DC"/>
    <w:rsid w:val="036B3CA6"/>
    <w:rsid w:val="03853D24"/>
    <w:rsid w:val="03DB0701"/>
    <w:rsid w:val="03FA05E4"/>
    <w:rsid w:val="041D69DB"/>
    <w:rsid w:val="04824ADC"/>
    <w:rsid w:val="049820AC"/>
    <w:rsid w:val="04F43DBC"/>
    <w:rsid w:val="0555228E"/>
    <w:rsid w:val="059D1E39"/>
    <w:rsid w:val="05E078B3"/>
    <w:rsid w:val="06100D8B"/>
    <w:rsid w:val="061A6A42"/>
    <w:rsid w:val="065D038F"/>
    <w:rsid w:val="069524E0"/>
    <w:rsid w:val="069635DB"/>
    <w:rsid w:val="06B1660B"/>
    <w:rsid w:val="06B2024B"/>
    <w:rsid w:val="06DF203C"/>
    <w:rsid w:val="07637E02"/>
    <w:rsid w:val="077D0583"/>
    <w:rsid w:val="079724D0"/>
    <w:rsid w:val="082A352F"/>
    <w:rsid w:val="08C349D1"/>
    <w:rsid w:val="09F67CD5"/>
    <w:rsid w:val="0AE23704"/>
    <w:rsid w:val="0B9E71DF"/>
    <w:rsid w:val="0BBA4E15"/>
    <w:rsid w:val="0C423297"/>
    <w:rsid w:val="0C6450EC"/>
    <w:rsid w:val="0C89227F"/>
    <w:rsid w:val="0C9D30C2"/>
    <w:rsid w:val="0D772C9C"/>
    <w:rsid w:val="0D91205B"/>
    <w:rsid w:val="0E172BD0"/>
    <w:rsid w:val="0E270DBD"/>
    <w:rsid w:val="0E6122BF"/>
    <w:rsid w:val="0E8F5401"/>
    <w:rsid w:val="0EFF5C2D"/>
    <w:rsid w:val="0FD74648"/>
    <w:rsid w:val="109F3465"/>
    <w:rsid w:val="10A50104"/>
    <w:rsid w:val="10AD1CC0"/>
    <w:rsid w:val="10E348C8"/>
    <w:rsid w:val="119D7849"/>
    <w:rsid w:val="11B87794"/>
    <w:rsid w:val="1242135C"/>
    <w:rsid w:val="13A1683F"/>
    <w:rsid w:val="147418D7"/>
    <w:rsid w:val="14DA3DA1"/>
    <w:rsid w:val="15945075"/>
    <w:rsid w:val="15F1581D"/>
    <w:rsid w:val="169F6619"/>
    <w:rsid w:val="16B42D4F"/>
    <w:rsid w:val="17155857"/>
    <w:rsid w:val="17950508"/>
    <w:rsid w:val="17CC176B"/>
    <w:rsid w:val="189D47FD"/>
    <w:rsid w:val="19010C43"/>
    <w:rsid w:val="19084C73"/>
    <w:rsid w:val="19200C2D"/>
    <w:rsid w:val="196257F1"/>
    <w:rsid w:val="1A054259"/>
    <w:rsid w:val="1A2E0961"/>
    <w:rsid w:val="1A465517"/>
    <w:rsid w:val="1AED7764"/>
    <w:rsid w:val="1B3C1E7E"/>
    <w:rsid w:val="1B7F6005"/>
    <w:rsid w:val="1C132CB9"/>
    <w:rsid w:val="1CAB67AC"/>
    <w:rsid w:val="1CCC26CA"/>
    <w:rsid w:val="1D736D6E"/>
    <w:rsid w:val="1DA2248D"/>
    <w:rsid w:val="1DED6FF3"/>
    <w:rsid w:val="1E155F21"/>
    <w:rsid w:val="1E664B2D"/>
    <w:rsid w:val="1E9D6342"/>
    <w:rsid w:val="1E9F7677"/>
    <w:rsid w:val="1EE26241"/>
    <w:rsid w:val="1F7479F8"/>
    <w:rsid w:val="1FE11599"/>
    <w:rsid w:val="202A4795"/>
    <w:rsid w:val="204E6676"/>
    <w:rsid w:val="20712797"/>
    <w:rsid w:val="20CB6FE0"/>
    <w:rsid w:val="211A0695"/>
    <w:rsid w:val="2195668B"/>
    <w:rsid w:val="21BE5AD4"/>
    <w:rsid w:val="21C90F74"/>
    <w:rsid w:val="21EC1042"/>
    <w:rsid w:val="225D3BA2"/>
    <w:rsid w:val="23523D5B"/>
    <w:rsid w:val="23733000"/>
    <w:rsid w:val="23B71DF0"/>
    <w:rsid w:val="23DA1E98"/>
    <w:rsid w:val="245C52F8"/>
    <w:rsid w:val="2463385E"/>
    <w:rsid w:val="24D77AFB"/>
    <w:rsid w:val="24E702E9"/>
    <w:rsid w:val="2508650D"/>
    <w:rsid w:val="25134332"/>
    <w:rsid w:val="25722255"/>
    <w:rsid w:val="257E508F"/>
    <w:rsid w:val="2653091D"/>
    <w:rsid w:val="26A168EB"/>
    <w:rsid w:val="27AB7429"/>
    <w:rsid w:val="28311F29"/>
    <w:rsid w:val="285C053E"/>
    <w:rsid w:val="28663D87"/>
    <w:rsid w:val="28911DA4"/>
    <w:rsid w:val="29DB0BB6"/>
    <w:rsid w:val="29FA7F26"/>
    <w:rsid w:val="2A115137"/>
    <w:rsid w:val="2A4E36C4"/>
    <w:rsid w:val="2A834EF2"/>
    <w:rsid w:val="2B5D3F6B"/>
    <w:rsid w:val="2B774832"/>
    <w:rsid w:val="2BAA3A2F"/>
    <w:rsid w:val="2CB47BAD"/>
    <w:rsid w:val="2CBA312D"/>
    <w:rsid w:val="2CC16BCB"/>
    <w:rsid w:val="2DB40767"/>
    <w:rsid w:val="2DC56BFE"/>
    <w:rsid w:val="2E9F0C6A"/>
    <w:rsid w:val="2EAF6620"/>
    <w:rsid w:val="2F1251F2"/>
    <w:rsid w:val="2F48200A"/>
    <w:rsid w:val="2FC86D5D"/>
    <w:rsid w:val="30962F3E"/>
    <w:rsid w:val="30B466C4"/>
    <w:rsid w:val="30D17E68"/>
    <w:rsid w:val="30FF2795"/>
    <w:rsid w:val="310B744E"/>
    <w:rsid w:val="31136AEE"/>
    <w:rsid w:val="31CE35AD"/>
    <w:rsid w:val="328C47B2"/>
    <w:rsid w:val="329A6ACE"/>
    <w:rsid w:val="32C96B57"/>
    <w:rsid w:val="3306388C"/>
    <w:rsid w:val="34A3771F"/>
    <w:rsid w:val="34AF1772"/>
    <w:rsid w:val="35141A17"/>
    <w:rsid w:val="35E341B6"/>
    <w:rsid w:val="35E42057"/>
    <w:rsid w:val="35E528C4"/>
    <w:rsid w:val="360B1D73"/>
    <w:rsid w:val="361F3323"/>
    <w:rsid w:val="36E93760"/>
    <w:rsid w:val="36FD4529"/>
    <w:rsid w:val="3784394E"/>
    <w:rsid w:val="3823721F"/>
    <w:rsid w:val="38AE3BB0"/>
    <w:rsid w:val="38BB682E"/>
    <w:rsid w:val="3A04068E"/>
    <w:rsid w:val="3ACB5746"/>
    <w:rsid w:val="3B4345A5"/>
    <w:rsid w:val="3B4E3C4C"/>
    <w:rsid w:val="3BB20883"/>
    <w:rsid w:val="3C142E37"/>
    <w:rsid w:val="3C3D7506"/>
    <w:rsid w:val="3C5A4EA4"/>
    <w:rsid w:val="3C736E72"/>
    <w:rsid w:val="3D0836E8"/>
    <w:rsid w:val="3E2A3166"/>
    <w:rsid w:val="3E3B5572"/>
    <w:rsid w:val="3E441C7D"/>
    <w:rsid w:val="3E6B774C"/>
    <w:rsid w:val="3EBA19A4"/>
    <w:rsid w:val="3F5E11B9"/>
    <w:rsid w:val="3FC956FF"/>
    <w:rsid w:val="3FEF0F46"/>
    <w:rsid w:val="40205795"/>
    <w:rsid w:val="40A36A71"/>
    <w:rsid w:val="40CF105F"/>
    <w:rsid w:val="41D3631F"/>
    <w:rsid w:val="41F10868"/>
    <w:rsid w:val="41F466FD"/>
    <w:rsid w:val="42063A2E"/>
    <w:rsid w:val="426B41A0"/>
    <w:rsid w:val="42A67A24"/>
    <w:rsid w:val="42D846B9"/>
    <w:rsid w:val="42F4675D"/>
    <w:rsid w:val="438E2DA7"/>
    <w:rsid w:val="438E69E2"/>
    <w:rsid w:val="440D5045"/>
    <w:rsid w:val="4448179D"/>
    <w:rsid w:val="459E4FC8"/>
    <w:rsid w:val="45B55022"/>
    <w:rsid w:val="45BE6191"/>
    <w:rsid w:val="45DD4FD0"/>
    <w:rsid w:val="460C5979"/>
    <w:rsid w:val="476077FF"/>
    <w:rsid w:val="47701E40"/>
    <w:rsid w:val="47BF1887"/>
    <w:rsid w:val="47C01792"/>
    <w:rsid w:val="480304B2"/>
    <w:rsid w:val="4808150F"/>
    <w:rsid w:val="483069DE"/>
    <w:rsid w:val="489C5D93"/>
    <w:rsid w:val="498A04F2"/>
    <w:rsid w:val="49E9233D"/>
    <w:rsid w:val="4A0B4E23"/>
    <w:rsid w:val="4A1C6083"/>
    <w:rsid w:val="4A292E2A"/>
    <w:rsid w:val="4A3B68B3"/>
    <w:rsid w:val="4AAD1944"/>
    <w:rsid w:val="4AC31003"/>
    <w:rsid w:val="4AD74BE4"/>
    <w:rsid w:val="4AE93159"/>
    <w:rsid w:val="4BD0339A"/>
    <w:rsid w:val="4CC32450"/>
    <w:rsid w:val="4D2624F7"/>
    <w:rsid w:val="4D462159"/>
    <w:rsid w:val="4D5C5FAC"/>
    <w:rsid w:val="4D903CAF"/>
    <w:rsid w:val="4D9513F6"/>
    <w:rsid w:val="4DBF6042"/>
    <w:rsid w:val="4DC605B6"/>
    <w:rsid w:val="4DD636F4"/>
    <w:rsid w:val="4DEC0985"/>
    <w:rsid w:val="4E27683A"/>
    <w:rsid w:val="4E354B62"/>
    <w:rsid w:val="4E4955E8"/>
    <w:rsid w:val="4F2765B1"/>
    <w:rsid w:val="4F285975"/>
    <w:rsid w:val="4FFD30B0"/>
    <w:rsid w:val="506901EE"/>
    <w:rsid w:val="50961E20"/>
    <w:rsid w:val="51867298"/>
    <w:rsid w:val="51B71D35"/>
    <w:rsid w:val="52195EDF"/>
    <w:rsid w:val="52313387"/>
    <w:rsid w:val="52B30520"/>
    <w:rsid w:val="52DC42BA"/>
    <w:rsid w:val="52E04D27"/>
    <w:rsid w:val="539A390F"/>
    <w:rsid w:val="53DB3477"/>
    <w:rsid w:val="54761BC2"/>
    <w:rsid w:val="54983F44"/>
    <w:rsid w:val="54A3122C"/>
    <w:rsid w:val="54AF6B42"/>
    <w:rsid w:val="54BB3E92"/>
    <w:rsid w:val="55BA37EE"/>
    <w:rsid w:val="55DD6F2A"/>
    <w:rsid w:val="56E23970"/>
    <w:rsid w:val="578F220A"/>
    <w:rsid w:val="57FC07D9"/>
    <w:rsid w:val="58500F22"/>
    <w:rsid w:val="588E0520"/>
    <w:rsid w:val="591C0009"/>
    <w:rsid w:val="59724FAA"/>
    <w:rsid w:val="5AC32943"/>
    <w:rsid w:val="5ACF0F3A"/>
    <w:rsid w:val="5B910D3F"/>
    <w:rsid w:val="5BC27482"/>
    <w:rsid w:val="5C3E4F80"/>
    <w:rsid w:val="5C6B1600"/>
    <w:rsid w:val="5C921AD0"/>
    <w:rsid w:val="5C9B41C3"/>
    <w:rsid w:val="5D0F4006"/>
    <w:rsid w:val="5DA665F1"/>
    <w:rsid w:val="5DFD51DB"/>
    <w:rsid w:val="5E0D36E5"/>
    <w:rsid w:val="5E107E6E"/>
    <w:rsid w:val="5EE94C0E"/>
    <w:rsid w:val="5F8E64F1"/>
    <w:rsid w:val="5FB25365"/>
    <w:rsid w:val="607C3753"/>
    <w:rsid w:val="60C30855"/>
    <w:rsid w:val="61421EFD"/>
    <w:rsid w:val="615C5041"/>
    <w:rsid w:val="61A616EB"/>
    <w:rsid w:val="62B00965"/>
    <w:rsid w:val="62DC23EB"/>
    <w:rsid w:val="63182FFE"/>
    <w:rsid w:val="639854D4"/>
    <w:rsid w:val="63C5603D"/>
    <w:rsid w:val="63D72C60"/>
    <w:rsid w:val="64E72AC4"/>
    <w:rsid w:val="65245052"/>
    <w:rsid w:val="664805B8"/>
    <w:rsid w:val="665A2A0A"/>
    <w:rsid w:val="669A3AC9"/>
    <w:rsid w:val="68451BCA"/>
    <w:rsid w:val="684652BD"/>
    <w:rsid w:val="68C96DCD"/>
    <w:rsid w:val="690F418B"/>
    <w:rsid w:val="695606A3"/>
    <w:rsid w:val="69DC279E"/>
    <w:rsid w:val="6A363544"/>
    <w:rsid w:val="6A7A2736"/>
    <w:rsid w:val="6A7B4B9C"/>
    <w:rsid w:val="6B9E1D81"/>
    <w:rsid w:val="6BA651DA"/>
    <w:rsid w:val="6C89456C"/>
    <w:rsid w:val="6E0A1043"/>
    <w:rsid w:val="6EA03D2B"/>
    <w:rsid w:val="6F447A5A"/>
    <w:rsid w:val="6FA629D4"/>
    <w:rsid w:val="70453CCB"/>
    <w:rsid w:val="70BB2EF0"/>
    <w:rsid w:val="70D42489"/>
    <w:rsid w:val="70D46AC8"/>
    <w:rsid w:val="70EB0923"/>
    <w:rsid w:val="713B41ED"/>
    <w:rsid w:val="71597A3B"/>
    <w:rsid w:val="71E23BB9"/>
    <w:rsid w:val="727848D1"/>
    <w:rsid w:val="72A71F44"/>
    <w:rsid w:val="72E50C43"/>
    <w:rsid w:val="731703A9"/>
    <w:rsid w:val="73D425F7"/>
    <w:rsid w:val="750A2023"/>
    <w:rsid w:val="7526648A"/>
    <w:rsid w:val="75F644AF"/>
    <w:rsid w:val="7676736A"/>
    <w:rsid w:val="76933951"/>
    <w:rsid w:val="76B620C0"/>
    <w:rsid w:val="771D661B"/>
    <w:rsid w:val="782235EB"/>
    <w:rsid w:val="78782A0D"/>
    <w:rsid w:val="78EE1454"/>
    <w:rsid w:val="79A2171F"/>
    <w:rsid w:val="79A252FF"/>
    <w:rsid w:val="79A80381"/>
    <w:rsid w:val="79D33056"/>
    <w:rsid w:val="7AC202F9"/>
    <w:rsid w:val="7AD42B4F"/>
    <w:rsid w:val="7B3E7526"/>
    <w:rsid w:val="7C1B5FFE"/>
    <w:rsid w:val="7C26369C"/>
    <w:rsid w:val="7C490025"/>
    <w:rsid w:val="7C706675"/>
    <w:rsid w:val="7C9E5A24"/>
    <w:rsid w:val="7D1F0C75"/>
    <w:rsid w:val="7D37341E"/>
    <w:rsid w:val="7D62117D"/>
    <w:rsid w:val="7DCA1F7D"/>
    <w:rsid w:val="7E027CFB"/>
    <w:rsid w:val="7E3E1EF2"/>
    <w:rsid w:val="7E4827AD"/>
    <w:rsid w:val="7E686F3E"/>
    <w:rsid w:val="7E951513"/>
    <w:rsid w:val="7ED83BA2"/>
    <w:rsid w:val="7EF74FC9"/>
    <w:rsid w:val="7F933BD8"/>
    <w:rsid w:val="7FCF0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99" w:name="annotation text"/>
    <w:lsdException w:qFormat="1" w:unhideWhenUsed="0" w:uiPriority="0" w:name="header"/>
    <w:lsdException w:qFormat="1" w:uiPriority="99" w:semiHidden="0" w:name="footer"/>
    <w:lsdException w:uiPriority="99" w:name="index heading"/>
    <w:lsdException w:qFormat="1" w:uiPriority="99" w:semiHidden="0"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unhideWhenUsed="0" w:uiPriority="99" w:semiHidden="0" w:name="Emphasis"/>
    <w:lsdException w:qFormat="1" w:uiPriority="99" w:name="Document Map"/>
    <w:lsdException w:uiPriority="99" w:name="Plain Text"/>
    <w:lsdException w:uiPriority="99" w:name="E-mail Signature"/>
    <w:lsdException w:qFormat="1"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200" w:afterLines="50" w:line="276" w:lineRule="auto"/>
      <w:jc w:val="both"/>
    </w:pPr>
    <w:rPr>
      <w:rFonts w:ascii="Times New Roman" w:hAnsi="Times New Roman" w:eastAsia="宋体" w:cs="Times New Roman"/>
      <w:kern w:val="2"/>
      <w:sz w:val="21"/>
      <w:lang w:val="en-US" w:eastAsia="zh-CN" w:bidi="ar-SA"/>
    </w:rPr>
  </w:style>
  <w:style w:type="paragraph" w:styleId="2">
    <w:name w:val="heading 1"/>
    <w:basedOn w:val="1"/>
    <w:next w:val="3"/>
    <w:qFormat/>
    <w:uiPriority w:val="0"/>
    <w:pPr>
      <w:keepNext/>
      <w:keepLines/>
      <w:numPr>
        <w:ilvl w:val="0"/>
        <w:numId w:val="1"/>
      </w:numPr>
      <w:pBdr>
        <w:top w:val="single" w:color="auto" w:sz="12" w:space="3"/>
      </w:pBdr>
      <w:ind w:left="630"/>
      <w:outlineLvl w:val="0"/>
    </w:pPr>
    <w:rPr>
      <w:rFonts w:ascii="Arial" w:hAnsi="Arial" w:eastAsia="MS Mincho"/>
      <w:sz w:val="32"/>
    </w:rPr>
  </w:style>
  <w:style w:type="paragraph" w:styleId="4">
    <w:name w:val="heading 2"/>
    <w:basedOn w:val="1"/>
    <w:next w:val="1"/>
    <w:qFormat/>
    <w:uiPriority w:val="0"/>
    <w:pPr>
      <w:spacing w:before="180"/>
      <w:ind w:right="100" w:rightChars="100"/>
      <w:outlineLvl w:val="1"/>
    </w:pPr>
    <w:rPr>
      <w:sz w:val="28"/>
    </w:rPr>
  </w:style>
  <w:style w:type="paragraph" w:styleId="5">
    <w:name w:val="heading 3"/>
    <w:basedOn w:val="4"/>
    <w:next w:val="1"/>
    <w:qFormat/>
    <w:uiPriority w:val="0"/>
    <w:pPr>
      <w:spacing w:before="120"/>
      <w:outlineLvl w:val="2"/>
    </w:pPr>
    <w:rPr>
      <w:sz w:val="24"/>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customStyle="1" w:styleId="3">
    <w:name w:val="YJ--正文"/>
    <w:basedOn w:val="1"/>
    <w:qFormat/>
    <w:uiPriority w:val="0"/>
    <w:pPr>
      <w:spacing w:beforeLines="150" w:afterLines="100"/>
      <w:ind w:firstLine="1440" w:firstLineChars="200"/>
    </w:pPr>
    <w:rPr>
      <w:rFonts w:eastAsia="Times New Roman" w:cs="宋体"/>
    </w:rPr>
  </w:style>
  <w:style w:type="paragraph" w:styleId="6">
    <w:name w:val="caption"/>
    <w:basedOn w:val="1"/>
    <w:next w:val="1"/>
    <w:unhideWhenUsed/>
    <w:qFormat/>
    <w:uiPriority w:val="99"/>
    <w:pPr>
      <w:spacing w:line="240" w:lineRule="auto"/>
    </w:pPr>
    <w:rPr>
      <w:b/>
      <w:bCs/>
      <w:color w:val="4F81BD" w:themeColor="accent1"/>
      <w:sz w:val="18"/>
      <w:szCs w:val="18"/>
      <w14:textFill>
        <w14:solidFill>
          <w14:schemeClr w14:val="accent1"/>
        </w14:solidFill>
      </w14:textFill>
    </w:rPr>
  </w:style>
  <w:style w:type="paragraph" w:styleId="7">
    <w:name w:val="Document Map"/>
    <w:basedOn w:val="1"/>
    <w:link w:val="51"/>
    <w:semiHidden/>
    <w:unhideWhenUsed/>
    <w:qFormat/>
    <w:uiPriority w:val="99"/>
    <w:pPr>
      <w:spacing w:after="0" w:line="240" w:lineRule="auto"/>
    </w:pPr>
    <w:rPr>
      <w:rFonts w:ascii="Tahoma" w:hAnsi="Tahoma" w:cs="Tahoma"/>
      <w:sz w:val="16"/>
      <w:szCs w:val="16"/>
    </w:rPr>
  </w:style>
  <w:style w:type="paragraph" w:styleId="8">
    <w:name w:val="annotation text"/>
    <w:basedOn w:val="1"/>
    <w:link w:val="52"/>
    <w:semiHidden/>
    <w:unhideWhenUsed/>
    <w:qFormat/>
    <w:uiPriority w:val="99"/>
    <w:pPr>
      <w:jc w:val="left"/>
    </w:pPr>
  </w:style>
  <w:style w:type="paragraph" w:styleId="9">
    <w:name w:val="Body Text"/>
    <w:basedOn w:val="1"/>
    <w:unhideWhenUsed/>
    <w:qFormat/>
    <w:uiPriority w:val="0"/>
    <w:pPr>
      <w:widowControl w:val="0"/>
    </w:pPr>
    <w:rPr>
      <w:i/>
    </w:r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toc 3"/>
    <w:basedOn w:val="1"/>
    <w:next w:val="1"/>
    <w:unhideWhenUsed/>
    <w:qFormat/>
    <w:uiPriority w:val="99"/>
    <w:pPr>
      <w:adjustRightInd w:val="0"/>
      <w:ind w:left="1282" w:leftChars="400" w:hanging="442" w:hangingChars="200"/>
    </w:pPr>
    <w:rPr>
      <w:b/>
      <w:i/>
      <w:sz w:val="20"/>
    </w:rPr>
  </w:style>
  <w:style w:type="paragraph" w:styleId="13">
    <w:name w:val="Balloon Text"/>
    <w:basedOn w:val="1"/>
    <w:link w:val="50"/>
    <w:semiHidden/>
    <w:unhideWhenUsed/>
    <w:qFormat/>
    <w:uiPriority w:val="99"/>
    <w:pPr>
      <w:spacing w:after="0" w:line="240" w:lineRule="auto"/>
    </w:pPr>
    <w:rPr>
      <w:rFonts w:ascii="Tahoma" w:hAnsi="Tahoma" w:cs="Tahoma"/>
      <w:sz w:val="16"/>
      <w:szCs w:val="16"/>
    </w:rPr>
  </w:style>
  <w:style w:type="paragraph" w:styleId="14">
    <w:name w:val="footer"/>
    <w:basedOn w:val="1"/>
    <w:link w:val="43"/>
    <w:unhideWhenUsed/>
    <w:qFormat/>
    <w:uiPriority w:val="99"/>
    <w:pPr>
      <w:tabs>
        <w:tab w:val="center" w:pos="4153"/>
        <w:tab w:val="right" w:pos="8306"/>
      </w:tabs>
      <w:snapToGrid w:val="0"/>
      <w:jc w:val="left"/>
    </w:pPr>
    <w:rPr>
      <w:sz w:val="18"/>
      <w:szCs w:val="18"/>
    </w:rPr>
  </w:style>
  <w:style w:type="paragraph" w:styleId="15">
    <w:name w:val="header"/>
    <w:basedOn w:val="1"/>
    <w:link w:val="42"/>
    <w:semiHidden/>
    <w:qFormat/>
    <w:uiPriority w:val="0"/>
    <w:pPr>
      <w:tabs>
        <w:tab w:val="center" w:pos="4680"/>
        <w:tab w:val="right" w:pos="9360"/>
      </w:tabs>
      <w:spacing w:after="0" w:line="240" w:lineRule="auto"/>
    </w:pPr>
  </w:style>
  <w:style w:type="paragraph" w:styleId="16">
    <w:name w:val="toc 1"/>
    <w:basedOn w:val="1"/>
    <w:next w:val="1"/>
    <w:unhideWhenUsed/>
    <w:qFormat/>
    <w:uiPriority w:val="39"/>
    <w:rPr>
      <w:rFonts w:eastAsiaTheme="minorEastAsia"/>
      <w:b/>
      <w:i/>
      <w:sz w:val="20"/>
    </w:rPr>
  </w:style>
  <w:style w:type="paragraph" w:styleId="17">
    <w:name w:val="table of figures"/>
    <w:basedOn w:val="1"/>
    <w:next w:val="1"/>
    <w:semiHidden/>
    <w:unhideWhenUsed/>
    <w:qFormat/>
    <w:uiPriority w:val="99"/>
    <w:pPr>
      <w:ind w:left="200" w:leftChars="200" w:hanging="200" w:hangingChars="200"/>
    </w:pPr>
  </w:style>
  <w:style w:type="paragraph" w:styleId="18">
    <w:name w:val="toc 2"/>
    <w:basedOn w:val="1"/>
    <w:next w:val="1"/>
    <w:semiHidden/>
    <w:unhideWhenUsed/>
    <w:qFormat/>
    <w:uiPriority w:val="99"/>
    <w:pPr>
      <w:ind w:left="862" w:leftChars="200" w:hanging="442" w:hangingChars="200"/>
    </w:pPr>
    <w:rPr>
      <w:b/>
      <w:i/>
      <w:sz w:val="20"/>
    </w:rPr>
  </w:style>
  <w:style w:type="paragraph" w:styleId="19">
    <w:name w:val="Normal (Web)"/>
    <w:basedOn w:val="1"/>
    <w:semiHidden/>
    <w:unhideWhenUsed/>
    <w:qFormat/>
    <w:uiPriority w:val="0"/>
    <w:pPr>
      <w:spacing w:beforeAutospacing="1" w:after="0" w:afterAutospacing="1"/>
      <w:jc w:val="left"/>
    </w:pPr>
    <w:rPr>
      <w:kern w:val="0"/>
      <w:sz w:val="24"/>
    </w:rPr>
  </w:style>
  <w:style w:type="paragraph" w:styleId="20">
    <w:name w:val="annotation subject"/>
    <w:basedOn w:val="8"/>
    <w:next w:val="8"/>
    <w:link w:val="53"/>
    <w:semiHidden/>
    <w:unhideWhenUsed/>
    <w:qFormat/>
    <w:uiPriority w:val="99"/>
    <w:pPr>
      <w:spacing w:line="240" w:lineRule="auto"/>
      <w:jc w:val="both"/>
    </w:pPr>
    <w:rPr>
      <w:b/>
      <w:bCs/>
      <w:sz w:val="20"/>
    </w:rPr>
  </w:style>
  <w:style w:type="table" w:styleId="22">
    <w:name w:val="Table Grid"/>
    <w:basedOn w:val="2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page number"/>
    <w:basedOn w:val="23"/>
    <w:semiHidden/>
    <w:qFormat/>
    <w:uiPriority w:val="0"/>
  </w:style>
  <w:style w:type="character" w:styleId="25">
    <w:name w:val="Hyperlink"/>
    <w:basedOn w:val="23"/>
    <w:unhideWhenUsed/>
    <w:qFormat/>
    <w:uiPriority w:val="99"/>
    <w:rPr>
      <w:color w:val="0000FF" w:themeColor="hyperlink"/>
      <w:u w:val="single"/>
      <w14:textFill>
        <w14:solidFill>
          <w14:schemeClr w14:val="hlink"/>
        </w14:solidFill>
      </w14:textFill>
    </w:rPr>
  </w:style>
  <w:style w:type="character" w:styleId="26">
    <w:name w:val="annotation reference"/>
    <w:qFormat/>
    <w:uiPriority w:val="0"/>
    <w:rPr>
      <w:sz w:val="16"/>
      <w:szCs w:val="16"/>
    </w:rPr>
  </w:style>
  <w:style w:type="paragraph" w:customStyle="1" w:styleId="27">
    <w:name w:val="YJ-Proposal"/>
    <w:basedOn w:val="1"/>
    <w:qFormat/>
    <w:uiPriority w:val="0"/>
    <w:pPr>
      <w:numPr>
        <w:ilvl w:val="0"/>
        <w:numId w:val="2"/>
      </w:numPr>
    </w:pPr>
    <w:rPr>
      <w:rFonts w:eastAsiaTheme="minorEastAsia"/>
      <w:b/>
      <w:bCs/>
      <w:i/>
      <w:iCs/>
      <w:sz w:val="20"/>
      <w:lang w:val="en-GB" w:eastAsia="en-US"/>
    </w:rPr>
  </w:style>
  <w:style w:type="paragraph" w:customStyle="1" w:styleId="28">
    <w:name w:val="YJ-Observation"/>
    <w:basedOn w:val="27"/>
    <w:qFormat/>
    <w:uiPriority w:val="0"/>
    <w:pPr>
      <w:numPr>
        <w:ilvl w:val="0"/>
        <w:numId w:val="3"/>
      </w:numPr>
      <w:tabs>
        <w:tab w:val="left" w:pos="420"/>
      </w:tabs>
    </w:pPr>
  </w:style>
  <w:style w:type="paragraph" w:customStyle="1" w:styleId="29">
    <w:name w:val="sub-proposal"/>
    <w:basedOn w:val="27"/>
    <w:next w:val="1"/>
    <w:qFormat/>
    <w:uiPriority w:val="0"/>
    <w:pPr>
      <w:numPr>
        <w:numId w:val="4"/>
      </w:numPr>
      <w:tabs>
        <w:tab w:val="left" w:pos="807"/>
      </w:tabs>
      <w:ind w:left="862" w:leftChars="200" w:hanging="442" w:hangingChars="200"/>
    </w:pPr>
  </w:style>
  <w:style w:type="paragraph" w:customStyle="1" w:styleId="30">
    <w:name w:val="sub-observation"/>
    <w:basedOn w:val="29"/>
    <w:next w:val="1"/>
    <w:qFormat/>
    <w:uiPriority w:val="0"/>
  </w:style>
  <w:style w:type="paragraph" w:customStyle="1" w:styleId="31">
    <w:name w:val="References"/>
    <w:basedOn w:val="1"/>
    <w:qFormat/>
    <w:uiPriority w:val="0"/>
    <w:pPr>
      <w:numPr>
        <w:ilvl w:val="0"/>
        <w:numId w:val="5"/>
      </w:numPr>
      <w:spacing w:after="60"/>
    </w:pPr>
    <w:rPr>
      <w:szCs w:val="16"/>
    </w:rPr>
  </w:style>
  <w:style w:type="paragraph" w:styleId="32">
    <w:name w:val="List Paragraph"/>
    <w:basedOn w:val="1"/>
    <w:qFormat/>
    <w:uiPriority w:val="34"/>
    <w:pPr>
      <w:spacing w:beforeLines="0" w:after="0" w:line="240" w:lineRule="auto"/>
      <w:ind w:left="720"/>
      <w:contextualSpacing/>
    </w:pPr>
    <w:rPr>
      <w:rFonts w:eastAsia="Times New Roman"/>
      <w:sz w:val="24"/>
      <w:szCs w:val="24"/>
    </w:rPr>
  </w:style>
  <w:style w:type="paragraph" w:customStyle="1" w:styleId="33">
    <w:name w:val="样式1"/>
    <w:basedOn w:val="1"/>
    <w:qFormat/>
    <w:uiPriority w:val="0"/>
  </w:style>
  <w:style w:type="paragraph" w:customStyle="1" w:styleId="34">
    <w:name w:val="3rd level proposal"/>
    <w:basedOn w:val="29"/>
    <w:next w:val="1"/>
    <w:qFormat/>
    <w:uiPriority w:val="0"/>
    <w:pPr>
      <w:numPr>
        <w:ilvl w:val="0"/>
        <w:numId w:val="6"/>
      </w:numPr>
      <w:ind w:left="1282" w:leftChars="400" w:hanging="442"/>
      <w:jc w:val="left"/>
    </w:pPr>
  </w:style>
  <w:style w:type="paragraph" w:customStyle="1" w:styleId="35">
    <w:name w:val="样式2"/>
    <w:basedOn w:val="1"/>
    <w:qFormat/>
    <w:uiPriority w:val="0"/>
  </w:style>
  <w:style w:type="paragraph" w:customStyle="1" w:styleId="36">
    <w:name w:val="3rd level observation"/>
    <w:basedOn w:val="30"/>
    <w:qFormat/>
    <w:uiPriority w:val="0"/>
    <w:pPr>
      <w:numPr>
        <w:ilvl w:val="0"/>
        <w:numId w:val="7"/>
      </w:numPr>
      <w:ind w:left="1282" w:leftChars="400" w:hanging="442"/>
    </w:pPr>
  </w:style>
  <w:style w:type="paragraph" w:customStyle="1" w:styleId="37">
    <w:name w:val="main text"/>
    <w:basedOn w:val="1"/>
    <w:qFormat/>
    <w:uiPriority w:val="0"/>
    <w:pPr>
      <w:spacing w:before="60" w:after="60" w:line="288" w:lineRule="auto"/>
      <w:ind w:firstLine="200" w:firstLineChars="200"/>
    </w:pPr>
    <w:rPr>
      <w:rFonts w:eastAsia="Malgun Gothic"/>
      <w:lang w:eastAsia="ko-KR"/>
    </w:rPr>
  </w:style>
  <w:style w:type="paragraph" w:customStyle="1" w:styleId="38">
    <w:name w:val="TH"/>
    <w:basedOn w:val="1"/>
    <w:qFormat/>
    <w:uiPriority w:val="0"/>
    <w:pPr>
      <w:keepNext/>
      <w:keepLines/>
      <w:spacing w:beforeLines="0" w:afterLines="0"/>
      <w:jc w:val="center"/>
    </w:pPr>
    <w:rPr>
      <w:rFonts w:ascii="Arial" w:hAnsi="Arial" w:eastAsia="Times New Roman" w:cs="Arial"/>
      <w:b/>
      <w:bCs/>
      <w:kern w:val="0"/>
      <w:sz w:val="24"/>
      <w:szCs w:val="24"/>
      <w:lang w:val="zh-CN" w:eastAsia="en-US"/>
    </w:rPr>
  </w:style>
  <w:style w:type="paragraph" w:customStyle="1" w:styleId="39">
    <w:name w:val="TAH"/>
    <w:basedOn w:val="40"/>
    <w:qFormat/>
    <w:uiPriority w:val="0"/>
    <w:rPr>
      <w:b/>
    </w:rPr>
  </w:style>
  <w:style w:type="paragraph" w:customStyle="1" w:styleId="40">
    <w:name w:val="TAC"/>
    <w:basedOn w:val="41"/>
    <w:qFormat/>
    <w:uiPriority w:val="0"/>
    <w:pPr>
      <w:spacing w:beforeLines="0" w:afterLines="0"/>
      <w:jc w:val="center"/>
    </w:pPr>
    <w:rPr>
      <w:rFonts w:eastAsia="Times New Roman" w:cs="Arial"/>
      <w:kern w:val="0"/>
      <w:szCs w:val="18"/>
      <w:lang w:val="zh-CN" w:eastAsia="en-US"/>
    </w:rPr>
  </w:style>
  <w:style w:type="paragraph" w:customStyle="1" w:styleId="41">
    <w:name w:val="TAL"/>
    <w:basedOn w:val="1"/>
    <w:qFormat/>
    <w:uiPriority w:val="0"/>
    <w:pPr>
      <w:keepNext/>
      <w:keepLines/>
    </w:pPr>
    <w:rPr>
      <w:rFonts w:ascii="Arial" w:hAnsi="Arial"/>
      <w:sz w:val="18"/>
    </w:rPr>
  </w:style>
  <w:style w:type="character" w:customStyle="1" w:styleId="42">
    <w:name w:val="页眉 Char"/>
    <w:basedOn w:val="23"/>
    <w:link w:val="15"/>
    <w:semiHidden/>
    <w:qFormat/>
    <w:uiPriority w:val="0"/>
    <w:rPr>
      <w:kern w:val="2"/>
      <w:sz w:val="21"/>
    </w:rPr>
  </w:style>
  <w:style w:type="character" w:customStyle="1" w:styleId="43">
    <w:name w:val="页脚 Char"/>
    <w:basedOn w:val="23"/>
    <w:link w:val="14"/>
    <w:qFormat/>
    <w:uiPriority w:val="99"/>
    <w:rPr>
      <w:kern w:val="2"/>
      <w:sz w:val="18"/>
      <w:szCs w:val="18"/>
    </w:rPr>
  </w:style>
  <w:style w:type="paragraph" w:customStyle="1" w:styleId="4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Times New Roman" w:cs="Times New Roman"/>
      <w:sz w:val="16"/>
      <w:lang w:val="en-GB" w:eastAsia="en-GB" w:bidi="ar-SA"/>
    </w:rPr>
  </w:style>
  <w:style w:type="character" w:customStyle="1" w:styleId="45">
    <w:name w:val="colour"/>
    <w:basedOn w:val="23"/>
    <w:qFormat/>
    <w:uiPriority w:val="0"/>
  </w:style>
  <w:style w:type="paragraph" w:customStyle="1" w:styleId="46">
    <w:name w:val="B1"/>
    <w:basedOn w:val="11"/>
    <w:qFormat/>
    <w:uiPriority w:val="0"/>
  </w:style>
  <w:style w:type="paragraph" w:customStyle="1" w:styleId="47">
    <w:name w:val="B2"/>
    <w:basedOn w:val="10"/>
    <w:qFormat/>
    <w:uiPriority w:val="0"/>
  </w:style>
  <w:style w:type="character" w:customStyle="1" w:styleId="48">
    <w:name w:val="fontstyle01"/>
    <w:basedOn w:val="23"/>
    <w:qFormat/>
    <w:uiPriority w:val="0"/>
    <w:rPr>
      <w:rFonts w:hint="default" w:ascii="Times New Roman" w:hAnsi="Times New Roman" w:cs="Times New Roman"/>
      <w:i/>
      <w:iCs/>
      <w:color w:val="000000"/>
      <w:sz w:val="20"/>
      <w:szCs w:val="20"/>
    </w:rPr>
  </w:style>
  <w:style w:type="paragraph" w:customStyle="1" w:styleId="49">
    <w:name w:val="3GPP Normal Text"/>
    <w:basedOn w:val="9"/>
    <w:qFormat/>
    <w:uiPriority w:val="0"/>
    <w:rPr>
      <w:rFonts w:eastAsia="MS Mincho"/>
      <w:sz w:val="22"/>
    </w:rPr>
  </w:style>
  <w:style w:type="character" w:customStyle="1" w:styleId="50">
    <w:name w:val="批注框文本 Char"/>
    <w:basedOn w:val="23"/>
    <w:link w:val="13"/>
    <w:semiHidden/>
    <w:qFormat/>
    <w:uiPriority w:val="99"/>
    <w:rPr>
      <w:rFonts w:ascii="Tahoma" w:hAnsi="Tahoma" w:eastAsia="宋体" w:cs="Tahoma"/>
      <w:kern w:val="2"/>
      <w:sz w:val="16"/>
      <w:szCs w:val="16"/>
    </w:rPr>
  </w:style>
  <w:style w:type="character" w:customStyle="1" w:styleId="51">
    <w:name w:val="文档结构图 Char"/>
    <w:basedOn w:val="23"/>
    <w:link w:val="7"/>
    <w:semiHidden/>
    <w:qFormat/>
    <w:uiPriority w:val="99"/>
    <w:rPr>
      <w:rFonts w:ascii="Tahoma" w:hAnsi="Tahoma" w:eastAsia="宋体" w:cs="Tahoma"/>
      <w:kern w:val="2"/>
      <w:sz w:val="16"/>
      <w:szCs w:val="16"/>
    </w:rPr>
  </w:style>
  <w:style w:type="character" w:customStyle="1" w:styleId="52">
    <w:name w:val="批注文字 Char"/>
    <w:basedOn w:val="23"/>
    <w:link w:val="8"/>
    <w:semiHidden/>
    <w:qFormat/>
    <w:uiPriority w:val="99"/>
    <w:rPr>
      <w:rFonts w:eastAsia="宋体"/>
      <w:kern w:val="2"/>
      <w:sz w:val="21"/>
    </w:rPr>
  </w:style>
  <w:style w:type="character" w:customStyle="1" w:styleId="53">
    <w:name w:val="批注主题 Char"/>
    <w:basedOn w:val="52"/>
    <w:link w:val="20"/>
    <w:qFormat/>
    <w:uiPriority w:val="0"/>
    <w:rPr>
      <w:rFonts w:eastAsia="宋体"/>
      <w:kern w:val="2"/>
      <w:sz w:val="21"/>
    </w:rPr>
  </w:style>
  <w:style w:type="paragraph" w:customStyle="1" w:styleId="54">
    <w:name w:val="Proposal"/>
    <w:basedOn w:val="1"/>
    <w:qFormat/>
    <w:uiPriority w:val="0"/>
    <w:pPr>
      <w:tabs>
        <w:tab w:val="left" w:pos="1701"/>
      </w:tabs>
      <w:overflowPunct w:val="0"/>
      <w:autoSpaceDE w:val="0"/>
      <w:autoSpaceDN w:val="0"/>
      <w:adjustRightInd w:val="0"/>
      <w:spacing w:after="120"/>
      <w:ind w:left="1701" w:hanging="1701"/>
      <w:textAlignment w:val="baseline"/>
    </w:pPr>
    <w:rPr>
      <w:rFonts w:eastAsia="Times New Roman"/>
      <w:b/>
      <w:bC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F9DB88-D1A5-47B3-9057-5B7297E991B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509</Words>
  <Characters>2907</Characters>
  <Lines>24</Lines>
  <Paragraphs>6</Paragraphs>
  <TotalTime>130</TotalTime>
  <ScaleCrop>false</ScaleCrop>
  <LinksUpToDate>false</LinksUpToDate>
  <CharactersWithSpaces>3410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2019-04-08T03:09:00Z</dcterms:created>
  <dc:creator>ZTE</dc:creator>
  <cp:lastModifiedBy>ZTE_xwm</cp:lastModifiedBy>
  <dcterms:modified xsi:type="dcterms:W3CDTF">2020-10-23T08:10:39Z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